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94" w:rsidRPr="00F846C1" w:rsidRDefault="002A0E94" w:rsidP="00447552">
      <w:pPr>
        <w:tabs>
          <w:tab w:val="left" w:pos="540"/>
          <w:tab w:val="left" w:pos="4410"/>
        </w:tabs>
        <w:spacing w:line="240" w:lineRule="atLeast"/>
        <w:rPr>
          <w:rFonts w:ascii="Foco" w:hAnsi="Foco" w:cs="Arial"/>
          <w:b/>
          <w:bCs/>
          <w:sz w:val="24"/>
          <w:szCs w:val="24"/>
          <w:lang w:val="sr-Latn-CS"/>
        </w:rPr>
      </w:pPr>
    </w:p>
    <w:p w:rsidR="00F846C1" w:rsidRDefault="00F846C1" w:rsidP="00F846C1">
      <w:pPr>
        <w:tabs>
          <w:tab w:val="left" w:pos="540"/>
          <w:tab w:val="left" w:pos="4410"/>
        </w:tabs>
        <w:spacing w:line="240" w:lineRule="atLeast"/>
        <w:rPr>
          <w:rFonts w:ascii="Foco" w:hAnsi="Foco" w:cs="Arial"/>
          <w:b/>
          <w:bCs/>
          <w:sz w:val="24"/>
          <w:szCs w:val="24"/>
          <w:lang w:val="sr-Latn-CS"/>
        </w:rPr>
      </w:pPr>
    </w:p>
    <w:p w:rsidR="00F846C1" w:rsidRDefault="00F846C1" w:rsidP="00F846C1">
      <w:pPr>
        <w:tabs>
          <w:tab w:val="left" w:pos="540"/>
          <w:tab w:val="left" w:pos="4410"/>
        </w:tabs>
        <w:spacing w:line="240" w:lineRule="atLeast"/>
        <w:rPr>
          <w:rFonts w:ascii="Foco" w:hAnsi="Foco" w:cs="Arial"/>
          <w:b/>
          <w:bCs/>
          <w:sz w:val="24"/>
          <w:szCs w:val="24"/>
        </w:rPr>
      </w:pPr>
    </w:p>
    <w:p w:rsidR="002A0E94" w:rsidRPr="00F846C1" w:rsidRDefault="002A0E94" w:rsidP="00AA5B1F">
      <w:pPr>
        <w:rPr>
          <w:rFonts w:ascii="Foco" w:hAnsi="Foco" w:cs="Arial"/>
          <w:b/>
          <w:bCs/>
          <w:sz w:val="24"/>
          <w:szCs w:val="24"/>
        </w:rPr>
      </w:pPr>
      <w:bookmarkStart w:id="0" w:name="_GoBack"/>
      <w:bookmarkEnd w:id="0"/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  <w:t xml:space="preserve">                      </w:t>
      </w:r>
    </w:p>
    <w:p w:rsidR="002A0E94" w:rsidRPr="00F846C1" w:rsidRDefault="002A0E94" w:rsidP="00AA5B1F">
      <w:pPr>
        <w:rPr>
          <w:rFonts w:ascii="Foco" w:hAnsi="Foco" w:cs="Arial"/>
          <w:b/>
          <w:bCs/>
          <w:sz w:val="24"/>
          <w:szCs w:val="24"/>
        </w:rPr>
      </w:pP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  <w:t xml:space="preserve">           </w:t>
      </w:r>
    </w:p>
    <w:p w:rsidR="002A0E94" w:rsidRPr="00F846C1" w:rsidRDefault="002A0E94" w:rsidP="00AA5B1F">
      <w:pPr>
        <w:spacing w:line="360" w:lineRule="auto"/>
        <w:rPr>
          <w:rFonts w:ascii="Foco" w:hAnsi="Foco" w:cs="Arial"/>
          <w:b/>
          <w:bCs/>
          <w:sz w:val="24"/>
          <w:szCs w:val="24"/>
        </w:rPr>
      </w:pP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  <w:t xml:space="preserve">            </w:t>
      </w:r>
    </w:p>
    <w:p w:rsidR="002A0E94" w:rsidRPr="00F846C1" w:rsidRDefault="002A0E94" w:rsidP="00AA5B1F">
      <w:pPr>
        <w:spacing w:line="360" w:lineRule="auto"/>
        <w:rPr>
          <w:rFonts w:ascii="Foco" w:hAnsi="Foco" w:cs="Arial"/>
          <w:b/>
          <w:bCs/>
          <w:sz w:val="24"/>
          <w:szCs w:val="24"/>
        </w:rPr>
      </w:pPr>
    </w:p>
    <w:p w:rsidR="00E12F3F" w:rsidRDefault="002A0E94" w:rsidP="00180269">
      <w:pPr>
        <w:jc w:val="center"/>
        <w:rPr>
          <w:rFonts w:ascii="Foco" w:hAnsi="Foco" w:cs="Arial"/>
          <w:b/>
          <w:bCs/>
          <w:sz w:val="28"/>
          <w:szCs w:val="28"/>
          <w:lang w:val="sr-Latn-CS"/>
        </w:rPr>
      </w:pPr>
      <w:r w:rsidRPr="00F846C1">
        <w:rPr>
          <w:rFonts w:ascii="Foco" w:hAnsi="Foco" w:cs="Arial"/>
          <w:b/>
          <w:bCs/>
          <w:sz w:val="28"/>
          <w:szCs w:val="28"/>
        </w:rPr>
        <w:t>OBAVE</w:t>
      </w:r>
      <w:r w:rsidRPr="00F846C1">
        <w:rPr>
          <w:rFonts w:ascii="Foco" w:hAnsi="Foco" w:cs="Arial"/>
          <w:b/>
          <w:bCs/>
          <w:sz w:val="28"/>
          <w:szCs w:val="28"/>
          <w:lang w:val="sr-Latn-CS"/>
        </w:rPr>
        <w:t>ŠTENJE IZDAVAOCA „</w:t>
      </w:r>
      <w:r w:rsidR="00E12F3F">
        <w:rPr>
          <w:rFonts w:ascii="Foco" w:hAnsi="Foco" w:cs="Arial"/>
          <w:b/>
          <w:bCs/>
          <w:sz w:val="28"/>
          <w:szCs w:val="28"/>
        </w:rPr>
        <w:t>PLANA MARKET</w:t>
      </w:r>
      <w:proofErr w:type="gramStart"/>
      <w:r w:rsidRPr="00F846C1">
        <w:rPr>
          <w:rFonts w:ascii="Foco" w:hAnsi="Foco" w:cs="Arial"/>
          <w:b/>
          <w:bCs/>
          <w:sz w:val="28"/>
          <w:szCs w:val="28"/>
          <w:lang w:val="sr-Latn-CS"/>
        </w:rPr>
        <w:t>“ AD</w:t>
      </w:r>
      <w:proofErr w:type="gramEnd"/>
      <w:r w:rsidRPr="00F846C1">
        <w:rPr>
          <w:rFonts w:ascii="Foco" w:hAnsi="Foco" w:cs="Arial"/>
          <w:b/>
          <w:bCs/>
          <w:sz w:val="28"/>
          <w:szCs w:val="28"/>
          <w:lang w:val="sr-Latn-CS"/>
        </w:rPr>
        <w:t xml:space="preserve"> VELIKA PLANA</w:t>
      </w:r>
    </w:p>
    <w:p w:rsidR="002A0E94" w:rsidRPr="00F846C1" w:rsidRDefault="002A0E94" w:rsidP="00180269">
      <w:pPr>
        <w:jc w:val="center"/>
        <w:rPr>
          <w:rFonts w:ascii="Foco" w:hAnsi="Foco" w:cs="Arial"/>
          <w:b/>
          <w:bCs/>
          <w:sz w:val="28"/>
          <w:szCs w:val="28"/>
          <w:lang w:val="sr-Latn-CS"/>
        </w:rPr>
      </w:pPr>
      <w:r w:rsidRPr="00F846C1">
        <w:rPr>
          <w:rFonts w:ascii="Foco" w:hAnsi="Foco" w:cs="Arial"/>
          <w:b/>
          <w:bCs/>
          <w:sz w:val="28"/>
          <w:szCs w:val="28"/>
          <w:lang w:val="sr-Latn-CS"/>
        </w:rPr>
        <w:t>O</w:t>
      </w:r>
      <w:r w:rsidR="00E12F3F">
        <w:rPr>
          <w:rFonts w:ascii="Foco" w:hAnsi="Foco" w:cs="Arial"/>
          <w:b/>
          <w:bCs/>
          <w:sz w:val="28"/>
          <w:szCs w:val="28"/>
          <w:lang w:val="sr-Latn-CS"/>
        </w:rPr>
        <w:t xml:space="preserve"> </w:t>
      </w:r>
      <w:r w:rsidRPr="00F846C1">
        <w:rPr>
          <w:rFonts w:ascii="Foco" w:hAnsi="Foco" w:cs="Arial"/>
          <w:b/>
          <w:bCs/>
          <w:sz w:val="28"/>
          <w:szCs w:val="28"/>
          <w:lang w:val="sr-Latn-CS"/>
        </w:rPr>
        <w:t>PROMENAMA U ZNAČAJNOM UČEŠĆU</w:t>
      </w:r>
    </w:p>
    <w:p w:rsidR="002A0E94" w:rsidRPr="00F846C1" w:rsidRDefault="002A0E94" w:rsidP="00AA5B1F">
      <w:pPr>
        <w:spacing w:line="360" w:lineRule="auto"/>
        <w:rPr>
          <w:rFonts w:ascii="Foco" w:hAnsi="Foco" w:cs="Arial"/>
          <w:b/>
          <w:bCs/>
          <w:sz w:val="24"/>
          <w:szCs w:val="24"/>
          <w:lang w:val="sr-Latn-CS"/>
        </w:rPr>
      </w:pPr>
    </w:p>
    <w:p w:rsidR="002A0E94" w:rsidRPr="00F846C1" w:rsidRDefault="002A0E94" w:rsidP="00180269">
      <w:pPr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>U skladu sa članovima 57. i 59. Zakona o tržištu kapitala („Službeni glasnik Republike Srbije“ br. 31/2011, u daljem tekst Zakon), izdavalac „</w:t>
      </w:r>
      <w:r w:rsidR="00E12F3F" w:rsidRPr="00E12F3F">
        <w:rPr>
          <w:rFonts w:ascii="Foco" w:hAnsi="Foco" w:cs="Arial"/>
          <w:bCs/>
          <w:sz w:val="24"/>
          <w:szCs w:val="24"/>
        </w:rPr>
        <w:t>PLANA MARKET</w:t>
      </w:r>
      <w:r w:rsidRPr="00E12F3F">
        <w:rPr>
          <w:rFonts w:ascii="Foco" w:hAnsi="Foco" w:cs="Arial"/>
          <w:sz w:val="24"/>
          <w:szCs w:val="24"/>
          <w:lang w:val="sr-Latn-CS"/>
        </w:rPr>
        <w:t>“ AD Velika Plana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izveštava javnost o promenama u značajnom učešću i to kada neko lice (fizičko ili pravno) dostigne, pređe ili padne ispod 5%, 10%, 15%, 20%, 25%, 50% i 75% prava glasa nad akcijama javnog akcionarskog društva „</w:t>
      </w:r>
      <w:r w:rsidR="00E12F3F">
        <w:rPr>
          <w:rFonts w:ascii="Foco" w:hAnsi="Foco" w:cs="Arial"/>
          <w:sz w:val="24"/>
          <w:szCs w:val="24"/>
          <w:lang w:val="sr-Latn-CS"/>
        </w:rPr>
        <w:t>PLANA MARKET</w:t>
      </w:r>
      <w:r w:rsidRPr="00F846C1">
        <w:rPr>
          <w:rFonts w:ascii="Foco" w:hAnsi="Foco" w:cs="Arial"/>
          <w:sz w:val="24"/>
          <w:szCs w:val="24"/>
          <w:lang w:val="sr-Latn-CS"/>
        </w:rPr>
        <w:t>“ AD Velika Plana, čijim se akcijama trguje na regulisanom tržištu Beogradske berze.</w:t>
      </w:r>
    </w:p>
    <w:p w:rsidR="002A0E94" w:rsidRPr="00F846C1" w:rsidRDefault="002A0E94" w:rsidP="00180269">
      <w:pPr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ED7AE3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Poslovno ime, sedište, adresa i drugi podaci javnog akcionarskog društva, izadavaoca akcija:</w:t>
      </w:r>
    </w:p>
    <w:p w:rsidR="002A0E94" w:rsidRPr="00F846C1" w:rsidRDefault="002A0E94" w:rsidP="00ED7AE3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>Poslovno ime: „</w:t>
      </w:r>
      <w:r w:rsidR="00E12F3F">
        <w:rPr>
          <w:rFonts w:ascii="Foco" w:hAnsi="Foco" w:cs="Arial"/>
          <w:sz w:val="24"/>
          <w:szCs w:val="24"/>
          <w:lang w:val="sr-Latn-CS"/>
        </w:rPr>
        <w:t>PLANA MARKET</w:t>
      </w:r>
      <w:r w:rsidRPr="00F846C1">
        <w:rPr>
          <w:rFonts w:ascii="Foco" w:hAnsi="Foco" w:cs="Arial"/>
          <w:sz w:val="24"/>
          <w:szCs w:val="24"/>
          <w:lang w:val="sr-Latn-CS"/>
        </w:rPr>
        <w:t>“ AD Velika Plana</w:t>
      </w:r>
    </w:p>
    <w:p w:rsidR="002A0E94" w:rsidRPr="00F846C1" w:rsidRDefault="002A0E94" w:rsidP="00ED7AE3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Adresa i sedište: </w:t>
      </w:r>
      <w:r w:rsidR="00E12F3F" w:rsidRPr="00E12F3F">
        <w:rPr>
          <w:rFonts w:ascii="Foco" w:hAnsi="Foco" w:cs="Arial"/>
          <w:sz w:val="24"/>
          <w:szCs w:val="24"/>
        </w:rPr>
        <w:t>Miloša Velikog  34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, Velika Plana, </w:t>
      </w:r>
    </w:p>
    <w:p w:rsidR="002A0E94" w:rsidRPr="00F846C1" w:rsidRDefault="002A0E94" w:rsidP="00ED7AE3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MB: </w:t>
      </w:r>
      <w:r w:rsidR="00E12F3F" w:rsidRPr="00E12F3F">
        <w:rPr>
          <w:rFonts w:ascii="Foco" w:hAnsi="Foco" w:cs="Arial"/>
          <w:sz w:val="24"/>
          <w:szCs w:val="24"/>
        </w:rPr>
        <w:t>17433113</w:t>
      </w:r>
    </w:p>
    <w:p w:rsidR="002A0E94" w:rsidRPr="00F846C1" w:rsidRDefault="00D83131" w:rsidP="00ED7AE3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>Di</w:t>
      </w:r>
      <w:r w:rsidR="006F5A5C" w:rsidRPr="00F846C1">
        <w:rPr>
          <w:rFonts w:ascii="Foco" w:hAnsi="Foco" w:cs="Arial"/>
          <w:sz w:val="24"/>
          <w:szCs w:val="24"/>
          <w:lang w:val="sr-Latn-CS"/>
        </w:rPr>
        <w:t>rektor</w:t>
      </w:r>
      <w:r w:rsidR="002A0E94" w:rsidRPr="00F846C1">
        <w:rPr>
          <w:rFonts w:ascii="Foco" w:hAnsi="Foco" w:cs="Arial"/>
          <w:sz w:val="24"/>
          <w:szCs w:val="24"/>
          <w:lang w:val="sr-Latn-CS"/>
        </w:rPr>
        <w:t xml:space="preserve">: </w:t>
      </w:r>
      <w:r w:rsidR="00E12F3F">
        <w:rPr>
          <w:rFonts w:ascii="Foco" w:hAnsi="Foco" w:cs="Arial"/>
          <w:sz w:val="24"/>
          <w:szCs w:val="24"/>
          <w:lang w:val="sr-Latn-CS"/>
        </w:rPr>
        <w:t>Ljubomir Đorđević</w:t>
      </w:r>
    </w:p>
    <w:p w:rsidR="002A0E94" w:rsidRPr="00F846C1" w:rsidRDefault="002A0E94" w:rsidP="00ED7AE3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414BCA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Podaci o fizičkom ili pravnom licu koje je dostiglo, prešlo ili palo ispod praga propisanog  članom 57. Zakona:</w:t>
      </w:r>
    </w:p>
    <w:p w:rsidR="002A0E94" w:rsidRPr="00F846C1" w:rsidRDefault="002A0E94" w:rsidP="00ED304C">
      <w:pPr>
        <w:ind w:left="360"/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</w:p>
    <w:p w:rsidR="002A0E94" w:rsidRPr="00F846C1" w:rsidRDefault="002A0E94" w:rsidP="00414BCA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1. Podaci o licu koje je prešlo prag od </w:t>
      </w:r>
      <w:r w:rsidR="00951A3F">
        <w:rPr>
          <w:rFonts w:ascii="Foco" w:hAnsi="Foco" w:cs="Arial"/>
          <w:sz w:val="24"/>
          <w:szCs w:val="24"/>
          <w:lang w:val="sr-Latn-CS"/>
        </w:rPr>
        <w:t>25</w:t>
      </w:r>
      <w:r w:rsidRPr="00F846C1">
        <w:rPr>
          <w:rFonts w:ascii="Foco" w:hAnsi="Foco" w:cs="Arial"/>
          <w:sz w:val="24"/>
          <w:szCs w:val="24"/>
          <w:lang w:val="sr-Latn-CS"/>
        </w:rPr>
        <w:t>%:</w:t>
      </w:r>
    </w:p>
    <w:p w:rsidR="002A0E94" w:rsidRPr="00F846C1" w:rsidRDefault="002A0E94" w:rsidP="00414BCA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    Poslovno ime: </w:t>
      </w:r>
      <w:r w:rsidR="00951A3F">
        <w:rPr>
          <w:rFonts w:ascii="Foco" w:hAnsi="Foco" w:cs="Arial"/>
          <w:sz w:val="24"/>
          <w:szCs w:val="24"/>
          <w:lang w:val="sr-Latn-RS"/>
        </w:rPr>
        <w:t>G.O. INVESTMENTS</w:t>
      </w:r>
      <w:r w:rsidR="00E12F3F" w:rsidRPr="00E12F3F">
        <w:rPr>
          <w:rFonts w:ascii="Foco" w:hAnsi="Foco" w:cs="Arial"/>
          <w:sz w:val="24"/>
          <w:szCs w:val="24"/>
          <w:lang w:val="sr-Latn-RS"/>
        </w:rPr>
        <w:t xml:space="preserve"> DOO BEOGRAD</w:t>
      </w:r>
    </w:p>
    <w:p w:rsidR="002A0E94" w:rsidRPr="00951A3F" w:rsidRDefault="002A0E94" w:rsidP="00414BCA">
      <w:pPr>
        <w:ind w:left="720"/>
        <w:jc w:val="both"/>
        <w:rPr>
          <w:rFonts w:ascii="Foco" w:hAnsi="Foco" w:cs="Arial"/>
          <w:sz w:val="24"/>
          <w:szCs w:val="24"/>
          <w:lang w:val="sr-Latn-R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    Matični broj: </w:t>
      </w:r>
      <w:r w:rsidR="00951A3F">
        <w:rPr>
          <w:rFonts w:ascii="Foco" w:hAnsi="Foco" w:cs="Arial"/>
          <w:sz w:val="24"/>
          <w:szCs w:val="24"/>
          <w:lang w:val="sr-Latn-RS"/>
        </w:rPr>
        <w:t>20180102</w:t>
      </w:r>
    </w:p>
    <w:p w:rsidR="002A0E94" w:rsidRPr="00F846C1" w:rsidRDefault="002A0E94" w:rsidP="00414BCA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    Adresa i sedište: </w:t>
      </w:r>
      <w:r w:rsidR="00951A3F">
        <w:rPr>
          <w:rFonts w:ascii="Foco" w:hAnsi="Foco" w:cs="Arial"/>
          <w:sz w:val="24"/>
          <w:szCs w:val="24"/>
          <w:lang w:val="sr-Latn-RS"/>
        </w:rPr>
        <w:t>Čika Ljubina 6</w:t>
      </w:r>
      <w:r w:rsidR="00E12F3F" w:rsidRPr="00E12F3F">
        <w:rPr>
          <w:rFonts w:ascii="Foco" w:hAnsi="Foco" w:cs="Arial"/>
          <w:sz w:val="24"/>
          <w:szCs w:val="24"/>
          <w:lang w:val="sr-Latn-RS"/>
        </w:rPr>
        <w:t>, Beograd</w:t>
      </w:r>
    </w:p>
    <w:p w:rsidR="002A0E94" w:rsidRPr="00F846C1" w:rsidRDefault="002A0E94" w:rsidP="00ED304C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    Odgovorna lica u pravnom licu: </w:t>
      </w:r>
      <w:r w:rsidR="00951A3F">
        <w:rPr>
          <w:rFonts w:ascii="Foco" w:hAnsi="Foco" w:cs="Arial"/>
          <w:sz w:val="24"/>
          <w:szCs w:val="24"/>
          <w:lang w:val="sr-Latn-CS"/>
        </w:rPr>
        <w:t>Kaća Miloš</w:t>
      </w:r>
    </w:p>
    <w:p w:rsidR="002A0E94" w:rsidRPr="00F846C1" w:rsidRDefault="002A0E94" w:rsidP="00414BCA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414BCA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7206C5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Podaci o konstrolisanim društvima preko kojih lice iz tačke 2) i 3), kao i podaci o licu koji za račun tog akcionara ostvaruje pravo glasa shodno članu 37. Zakona:</w:t>
      </w:r>
    </w:p>
    <w:p w:rsidR="002A0E94" w:rsidRPr="00F846C1" w:rsidRDefault="002A0E94" w:rsidP="009C5109">
      <w:pPr>
        <w:ind w:left="360"/>
        <w:jc w:val="both"/>
        <w:rPr>
          <w:rFonts w:ascii="Foco" w:hAnsi="Foco" w:cs="Arial"/>
          <w:b/>
          <w:bCs/>
          <w:color w:val="FF0000"/>
          <w:sz w:val="24"/>
          <w:szCs w:val="24"/>
          <w:lang w:val="sr-Latn-CS"/>
        </w:rPr>
      </w:pPr>
    </w:p>
    <w:p w:rsidR="002A0E94" w:rsidRPr="00F846C1" w:rsidRDefault="002A0E94" w:rsidP="00EB68B3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>--------</w:t>
      </w:r>
    </w:p>
    <w:p w:rsidR="002A0E94" w:rsidRPr="00F846C1" w:rsidRDefault="002A0E94" w:rsidP="007206C5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7206C5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Podaci o akcionaru, ako je akcionar različit od lica iz tačke 2) i 3), kao i podaci o licu koji za račun tog akcionara ostvaruje pravo glasa shodno članu 37. Zakona:</w:t>
      </w:r>
    </w:p>
    <w:p w:rsidR="002A0E94" w:rsidRPr="00F846C1" w:rsidRDefault="002A0E94" w:rsidP="00926BF5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>--------</w:t>
      </w:r>
    </w:p>
    <w:p w:rsidR="002A0E94" w:rsidRPr="00F846C1" w:rsidRDefault="002A0E94" w:rsidP="00BF348F">
      <w:pPr>
        <w:ind w:left="720"/>
        <w:jc w:val="right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7206C5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Podaci o ispravi i načinu na osnovu koga se dostiže, prelazi ili pada ispod propisanog praga:</w:t>
      </w:r>
    </w:p>
    <w:p w:rsidR="002A0E94" w:rsidRDefault="00576B6F" w:rsidP="007874FF">
      <w:pPr>
        <w:ind w:left="720"/>
        <w:jc w:val="both"/>
        <w:rPr>
          <w:rFonts w:ascii="Foco" w:hAnsi="Foco" w:cs="Arial"/>
          <w:sz w:val="24"/>
          <w:szCs w:val="24"/>
          <w:lang w:val="sr-Latn-RS"/>
        </w:rPr>
      </w:pPr>
      <w:r w:rsidRPr="00576B6F">
        <w:rPr>
          <w:rFonts w:ascii="Foco" w:hAnsi="Foco" w:cs="Arial"/>
          <w:sz w:val="24"/>
          <w:szCs w:val="24"/>
          <w:lang w:val="sr-Latn-RS"/>
        </w:rPr>
        <w:t>Preko p</w:t>
      </w:r>
      <w:r w:rsidRPr="00576B6F">
        <w:rPr>
          <w:rFonts w:ascii="Foco" w:hAnsi="Foco" w:cs="Arial"/>
          <w:sz w:val="24"/>
          <w:szCs w:val="24"/>
          <w:lang w:val="sr-Cyrl-RS"/>
        </w:rPr>
        <w:t>ropisan</w:t>
      </w:r>
      <w:r w:rsidRPr="00576B6F">
        <w:rPr>
          <w:rFonts w:ascii="Foco" w:hAnsi="Foco" w:cs="Arial"/>
          <w:sz w:val="24"/>
          <w:szCs w:val="24"/>
          <w:lang w:val="sr-Latn-RS"/>
        </w:rPr>
        <w:t>og</w:t>
      </w:r>
      <w:r w:rsidRPr="00576B6F">
        <w:rPr>
          <w:rFonts w:ascii="Foco" w:hAnsi="Foco" w:cs="Arial"/>
          <w:sz w:val="24"/>
          <w:szCs w:val="24"/>
          <w:lang w:val="sr-Cyrl-RS"/>
        </w:rPr>
        <w:t xml:space="preserve"> prag</w:t>
      </w:r>
      <w:r w:rsidRPr="00576B6F">
        <w:rPr>
          <w:rFonts w:ascii="Foco" w:hAnsi="Foco" w:cs="Arial"/>
          <w:sz w:val="24"/>
          <w:szCs w:val="24"/>
          <w:lang w:val="sr-Latn-RS"/>
        </w:rPr>
        <w:t>a</w:t>
      </w:r>
      <w:r w:rsidRPr="00576B6F">
        <w:rPr>
          <w:rFonts w:ascii="Foco" w:hAnsi="Foco" w:cs="Arial"/>
          <w:sz w:val="24"/>
          <w:szCs w:val="24"/>
          <w:lang w:val="sr-Cyrl-RS"/>
        </w:rPr>
        <w:t xml:space="preserve"> od </w:t>
      </w:r>
      <w:r w:rsidR="00951A3F">
        <w:rPr>
          <w:rFonts w:ascii="Foco" w:hAnsi="Foco" w:cs="Arial"/>
          <w:sz w:val="24"/>
          <w:szCs w:val="24"/>
          <w:lang w:val="sr-Latn-RS"/>
        </w:rPr>
        <w:t>25</w:t>
      </w:r>
      <w:r w:rsidRPr="00576B6F">
        <w:rPr>
          <w:rFonts w:ascii="Foco" w:hAnsi="Foco" w:cs="Arial"/>
          <w:sz w:val="24"/>
          <w:szCs w:val="24"/>
          <w:lang w:val="sr-Cyrl-RS"/>
        </w:rPr>
        <w:t xml:space="preserve">% </w:t>
      </w:r>
      <w:r w:rsidRPr="00576B6F">
        <w:rPr>
          <w:rFonts w:ascii="Foco" w:hAnsi="Foco" w:cs="Arial"/>
          <w:sz w:val="24"/>
          <w:szCs w:val="24"/>
          <w:lang w:val="sr-Latn-RS"/>
        </w:rPr>
        <w:t>se prešlo</w:t>
      </w:r>
      <w:r w:rsidRPr="00576B6F">
        <w:rPr>
          <w:rFonts w:ascii="Foco" w:hAnsi="Foco" w:cs="Arial"/>
          <w:sz w:val="24"/>
          <w:szCs w:val="24"/>
          <w:lang w:val="sr-Cyrl-RS"/>
        </w:rPr>
        <w:t xml:space="preserve"> nakon saldiranja </w:t>
      </w:r>
      <w:r w:rsidRPr="00576B6F">
        <w:rPr>
          <w:rFonts w:ascii="Foco" w:hAnsi="Foco" w:cs="Arial"/>
          <w:sz w:val="24"/>
          <w:szCs w:val="24"/>
          <w:lang w:val="sr-Latn-RS"/>
        </w:rPr>
        <w:t>transakcij</w:t>
      </w:r>
      <w:r w:rsidRPr="00576B6F">
        <w:rPr>
          <w:rFonts w:ascii="Foco" w:hAnsi="Foco" w:cs="Arial"/>
          <w:sz w:val="24"/>
          <w:szCs w:val="24"/>
          <w:lang w:val="sr-Cyrl-RS"/>
        </w:rPr>
        <w:t>e</w:t>
      </w:r>
      <w:r w:rsidRPr="00576B6F">
        <w:rPr>
          <w:rFonts w:ascii="Foco" w:hAnsi="Foco" w:cs="Arial"/>
          <w:sz w:val="24"/>
          <w:szCs w:val="24"/>
          <w:lang w:val="sr-Latn-RS"/>
        </w:rPr>
        <w:t xml:space="preserve"> kupovine akcija </w:t>
      </w:r>
      <w:r w:rsidR="00C13A9B">
        <w:rPr>
          <w:rFonts w:ascii="Foco" w:hAnsi="Foco" w:cs="Arial"/>
          <w:sz w:val="24"/>
          <w:szCs w:val="24"/>
          <w:lang w:val="sr-Latn-RS"/>
        </w:rPr>
        <w:t xml:space="preserve">od Akcionarskog fonda </w:t>
      </w:r>
      <w:r w:rsidRPr="00576B6F">
        <w:rPr>
          <w:rFonts w:ascii="Foco" w:hAnsi="Foco" w:cs="Arial"/>
          <w:sz w:val="24"/>
          <w:szCs w:val="24"/>
          <w:lang w:val="sr-Cyrl-RS"/>
        </w:rPr>
        <w:t xml:space="preserve">na Beogradskoj berzi dana </w:t>
      </w:r>
      <w:r w:rsidR="00C13A9B">
        <w:rPr>
          <w:rFonts w:ascii="Foco" w:hAnsi="Foco" w:cs="Arial"/>
          <w:sz w:val="24"/>
          <w:szCs w:val="24"/>
          <w:lang w:val="sr-Latn-RS"/>
        </w:rPr>
        <w:t>25.11</w:t>
      </w:r>
      <w:r w:rsidRPr="00576B6F">
        <w:rPr>
          <w:rFonts w:ascii="Foco" w:hAnsi="Foco" w:cs="Arial"/>
          <w:sz w:val="24"/>
          <w:szCs w:val="24"/>
          <w:lang w:val="sr-Cyrl-RS"/>
        </w:rPr>
        <w:t>.201</w:t>
      </w:r>
      <w:r w:rsidRPr="00576B6F">
        <w:rPr>
          <w:rFonts w:ascii="Foco" w:hAnsi="Foco" w:cs="Arial"/>
          <w:sz w:val="24"/>
          <w:szCs w:val="24"/>
          <w:lang w:val="sr-Latn-RS"/>
        </w:rPr>
        <w:t>4</w:t>
      </w:r>
      <w:r w:rsidRPr="00576B6F">
        <w:rPr>
          <w:rFonts w:ascii="Foco" w:hAnsi="Foco" w:cs="Arial"/>
          <w:sz w:val="24"/>
          <w:szCs w:val="24"/>
          <w:lang w:val="sr-Cyrl-RS"/>
        </w:rPr>
        <w:t>.godine.</w:t>
      </w:r>
    </w:p>
    <w:p w:rsidR="00576B6F" w:rsidRPr="00576B6F" w:rsidRDefault="00576B6F" w:rsidP="007874FF">
      <w:pPr>
        <w:ind w:left="720"/>
        <w:jc w:val="both"/>
        <w:rPr>
          <w:rFonts w:ascii="Foco" w:hAnsi="Foco" w:cs="Arial"/>
          <w:sz w:val="24"/>
          <w:szCs w:val="24"/>
          <w:lang w:val="sr-Latn-RS"/>
        </w:rPr>
      </w:pPr>
    </w:p>
    <w:p w:rsidR="00576B6F" w:rsidRPr="00576B6F" w:rsidRDefault="00576B6F" w:rsidP="007874FF">
      <w:pPr>
        <w:ind w:left="720"/>
        <w:jc w:val="both"/>
        <w:rPr>
          <w:rFonts w:ascii="Foco" w:hAnsi="Foco" w:cs="Arial"/>
          <w:sz w:val="24"/>
          <w:szCs w:val="24"/>
          <w:lang w:val="sr-Latn-RS"/>
        </w:rPr>
      </w:pPr>
    </w:p>
    <w:p w:rsidR="002A0E94" w:rsidRPr="00F846C1" w:rsidRDefault="002A0E94" w:rsidP="007874FF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Podaci o broju glasova u apsolutnom i relevantnom iznosu kojim se dostiže, prelazi ili pada ispod propisanog praga, a na osnovu podataka izdavaoca o ukupnom broju izdatih akcija sa pravom glasa:</w:t>
      </w:r>
    </w:p>
    <w:p w:rsidR="002A0E94" w:rsidRPr="00F846C1" w:rsidRDefault="002A0E94" w:rsidP="007874F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>Ukupa</w:t>
      </w:r>
      <w:r w:rsidR="009428F0" w:rsidRPr="00F846C1">
        <w:rPr>
          <w:rFonts w:ascii="Foco" w:hAnsi="Foco" w:cs="Arial"/>
          <w:sz w:val="24"/>
          <w:szCs w:val="24"/>
          <w:lang w:val="sr-Latn-CS"/>
        </w:rPr>
        <w:t xml:space="preserve">n broj glasova izdavaoca: </w:t>
      </w:r>
      <w:r w:rsidR="00576B6F">
        <w:rPr>
          <w:rFonts w:ascii="Foco" w:hAnsi="Foco" w:cs="Arial"/>
          <w:sz w:val="24"/>
          <w:szCs w:val="24"/>
          <w:lang w:val="sr-Latn-CS"/>
        </w:rPr>
        <w:t>127.299</w:t>
      </w:r>
    </w:p>
    <w:p w:rsidR="009428F0" w:rsidRPr="00F846C1" w:rsidRDefault="009428F0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Prag od </w:t>
      </w:r>
      <w:r w:rsidR="005C3122">
        <w:rPr>
          <w:rFonts w:ascii="Foco" w:hAnsi="Foco" w:cs="Arial"/>
          <w:sz w:val="24"/>
          <w:szCs w:val="24"/>
          <w:lang w:val="sr-Latn-CS"/>
        </w:rPr>
        <w:t>25</w:t>
      </w:r>
      <w:r w:rsidR="002A0E94" w:rsidRPr="00F846C1">
        <w:rPr>
          <w:rFonts w:ascii="Foco" w:hAnsi="Foco" w:cs="Arial"/>
          <w:sz w:val="24"/>
          <w:szCs w:val="24"/>
          <w:lang w:val="sr-Latn-CS"/>
        </w:rPr>
        <w:t xml:space="preserve">%: </w:t>
      </w:r>
      <w:r w:rsidR="005C3122">
        <w:rPr>
          <w:rFonts w:ascii="Foco" w:hAnsi="Foco" w:cs="Arial"/>
          <w:sz w:val="24"/>
          <w:szCs w:val="24"/>
          <w:lang w:val="sr-Latn-CS"/>
        </w:rPr>
        <w:t>31.825</w:t>
      </w:r>
    </w:p>
    <w:p w:rsidR="002A0E94" w:rsidRPr="00F846C1" w:rsidRDefault="002A0E94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Broj posedovanih glasova pre prelaska praga iznad </w:t>
      </w:r>
      <w:r w:rsidR="00C13A9B">
        <w:rPr>
          <w:rFonts w:ascii="Foco" w:hAnsi="Foco" w:cs="Arial"/>
          <w:sz w:val="24"/>
          <w:szCs w:val="24"/>
          <w:lang w:val="sr-Latn-CS"/>
        </w:rPr>
        <w:t>10</w:t>
      </w:r>
      <w:r w:rsidRPr="00F846C1">
        <w:rPr>
          <w:rFonts w:ascii="Foco" w:hAnsi="Foco" w:cs="Arial"/>
          <w:sz w:val="24"/>
          <w:szCs w:val="24"/>
          <w:lang w:val="sr-Latn-CS"/>
        </w:rPr>
        <w:t>%:</w:t>
      </w:r>
    </w:p>
    <w:p w:rsidR="002A0E94" w:rsidRPr="00F846C1" w:rsidRDefault="002A0E94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1. Akcionar </w:t>
      </w:r>
      <w:r w:rsidR="005C3122">
        <w:rPr>
          <w:rFonts w:ascii="Foco" w:hAnsi="Foco" w:cs="Arial"/>
          <w:sz w:val="24"/>
          <w:szCs w:val="24"/>
          <w:lang w:val="sr-Latn-RS"/>
        </w:rPr>
        <w:t>G.O. INVESTMENTS DOO</w:t>
      </w:r>
      <w:r w:rsidR="00576B6F" w:rsidRPr="00E12F3F">
        <w:rPr>
          <w:rFonts w:ascii="Foco" w:hAnsi="Foco" w:cs="Arial"/>
          <w:sz w:val="24"/>
          <w:szCs w:val="24"/>
          <w:lang w:val="sr-Latn-RS"/>
        </w:rPr>
        <w:t xml:space="preserve"> BEOGRAD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="006F5A5C" w:rsidRPr="00F846C1">
        <w:rPr>
          <w:rFonts w:ascii="Foco" w:hAnsi="Foco" w:cs="Arial"/>
          <w:sz w:val="24"/>
          <w:szCs w:val="24"/>
          <w:lang w:val="sr-Latn-CS"/>
        </w:rPr>
        <w:t>je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imao</w:t>
      </w:r>
      <w:r w:rsidR="006F5A5C"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="005C3122">
        <w:rPr>
          <w:rFonts w:ascii="Foco" w:hAnsi="Foco" w:cs="Arial"/>
          <w:sz w:val="24"/>
          <w:szCs w:val="24"/>
          <w:lang w:val="sr-Latn-CS"/>
        </w:rPr>
        <w:t>31.824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="00FF3F33" w:rsidRPr="00F846C1">
        <w:rPr>
          <w:rFonts w:ascii="Foco" w:hAnsi="Foco" w:cs="Arial"/>
          <w:sz w:val="24"/>
          <w:szCs w:val="24"/>
          <w:lang w:val="sr-Latn-CS"/>
        </w:rPr>
        <w:t>akcija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pre </w:t>
      </w:r>
      <w:r w:rsidR="00576B6F">
        <w:rPr>
          <w:rFonts w:ascii="Foco" w:hAnsi="Foco" w:cs="Arial"/>
          <w:sz w:val="24"/>
          <w:szCs w:val="24"/>
          <w:lang w:val="sr-Latn-CS"/>
        </w:rPr>
        <w:t>saldiranja trgovanja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od </w:t>
      </w:r>
      <w:r w:rsidR="00C13A9B">
        <w:rPr>
          <w:rFonts w:ascii="Foco" w:hAnsi="Foco" w:cs="Arial"/>
          <w:sz w:val="24"/>
          <w:szCs w:val="24"/>
          <w:lang w:val="sr-Latn-CS"/>
        </w:rPr>
        <w:t>25.11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>.2014.</w:t>
      </w:r>
      <w:r w:rsidRPr="00F846C1">
        <w:rPr>
          <w:rFonts w:ascii="Foco" w:hAnsi="Foco" w:cs="Arial"/>
          <w:sz w:val="24"/>
          <w:szCs w:val="24"/>
          <w:lang w:val="sr-Latn-CS"/>
        </w:rPr>
        <w:t>godine</w:t>
      </w:r>
      <w:r w:rsidR="00576B6F">
        <w:rPr>
          <w:rFonts w:ascii="Foco" w:hAnsi="Foco" w:cs="Arial"/>
          <w:sz w:val="24"/>
          <w:szCs w:val="24"/>
          <w:lang w:val="sr-Latn-CS"/>
        </w:rPr>
        <w:t>.</w:t>
      </w:r>
    </w:p>
    <w:p w:rsidR="002A0E94" w:rsidRPr="00F846C1" w:rsidRDefault="002A0E94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402EBD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Podaci o ukupnom broju glasova u apsolutnom i relevantnom iznosu koji je dostignut, pređen ili ispod kojeg se palo:</w:t>
      </w:r>
    </w:p>
    <w:p w:rsidR="002A0E94" w:rsidRPr="00F846C1" w:rsidRDefault="002A0E94" w:rsidP="00380E1A">
      <w:pPr>
        <w:ind w:left="360"/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</w:p>
    <w:p w:rsidR="007C2701" w:rsidRPr="00F846C1" w:rsidRDefault="002A0E94" w:rsidP="00576B6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1. 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 xml:space="preserve">Akcionar </w:t>
      </w:r>
      <w:r w:rsidR="005C3122">
        <w:rPr>
          <w:rFonts w:ascii="Foco" w:hAnsi="Foco" w:cs="Arial"/>
          <w:sz w:val="24"/>
          <w:szCs w:val="24"/>
          <w:lang w:val="sr-Latn-RS"/>
        </w:rPr>
        <w:t>G.O. INVESTMENTS DOO</w:t>
      </w:r>
      <w:r w:rsidR="00576B6F" w:rsidRPr="00E12F3F">
        <w:rPr>
          <w:rFonts w:ascii="Foco" w:hAnsi="Foco" w:cs="Arial"/>
          <w:sz w:val="24"/>
          <w:szCs w:val="24"/>
          <w:lang w:val="sr-Latn-RS"/>
        </w:rPr>
        <w:t xml:space="preserve"> BEOGRAD</w:t>
      </w:r>
      <w:r w:rsidR="00576B6F"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Pr="00F846C1">
        <w:rPr>
          <w:rFonts w:ascii="Foco" w:hAnsi="Foco" w:cs="Arial"/>
          <w:sz w:val="24"/>
          <w:szCs w:val="24"/>
          <w:lang w:val="sr-Latn-CS"/>
        </w:rPr>
        <w:t>je stekao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="005C3122">
        <w:rPr>
          <w:rFonts w:ascii="Foco" w:hAnsi="Foco" w:cs="Arial"/>
          <w:sz w:val="24"/>
          <w:szCs w:val="24"/>
          <w:lang w:val="sr-Latn-CS"/>
        </w:rPr>
        <w:t>7</w:t>
      </w:r>
      <w:r w:rsidR="00C13A9B">
        <w:rPr>
          <w:rFonts w:ascii="Foco" w:hAnsi="Foco" w:cs="Arial"/>
          <w:sz w:val="24"/>
          <w:szCs w:val="24"/>
          <w:lang w:val="sr-Latn-CS"/>
        </w:rPr>
        <w:t>.500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 glasova izdavaoca kupovinom akcija na Beogradskoj Berzi dana </w:t>
      </w:r>
      <w:r w:rsidR="00C13A9B">
        <w:rPr>
          <w:rFonts w:ascii="Foco" w:hAnsi="Foco" w:cs="Arial"/>
          <w:sz w:val="24"/>
          <w:szCs w:val="24"/>
          <w:lang w:val="sr-Latn-CS"/>
        </w:rPr>
        <w:t>25.11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.2014. godine, što čini 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="005C3122">
        <w:rPr>
          <w:rFonts w:ascii="Foco" w:hAnsi="Foco" w:cs="Arial"/>
          <w:sz w:val="24"/>
          <w:szCs w:val="24"/>
          <w:lang w:val="sr-Latn-CS"/>
        </w:rPr>
        <w:t>5.89</w:t>
      </w:r>
      <w:r w:rsidRPr="00F846C1">
        <w:rPr>
          <w:rFonts w:ascii="Foco" w:hAnsi="Foco" w:cs="Arial"/>
          <w:sz w:val="24"/>
          <w:szCs w:val="24"/>
          <w:lang w:val="sr-Latn-CS"/>
        </w:rPr>
        <w:t>% u odnosu na ukupan broj glasova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 xml:space="preserve">, tako da, obzirom da 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je prethodno posedovao </w:t>
      </w:r>
      <w:r w:rsidR="005C3122">
        <w:rPr>
          <w:rFonts w:ascii="Foco" w:hAnsi="Foco" w:cs="Arial"/>
          <w:sz w:val="24"/>
          <w:szCs w:val="24"/>
          <w:lang w:val="sr-Latn-CS"/>
        </w:rPr>
        <w:t>31.824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 akcij</w:t>
      </w:r>
      <w:r w:rsidR="00C13A9B">
        <w:rPr>
          <w:rFonts w:ascii="Foco" w:hAnsi="Foco" w:cs="Arial"/>
          <w:sz w:val="24"/>
          <w:szCs w:val="24"/>
          <w:lang w:val="sr-Latn-CS"/>
        </w:rPr>
        <w:t>a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, sada 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 xml:space="preserve">poseduje ukupno </w:t>
      </w:r>
      <w:r w:rsidR="005C3122">
        <w:rPr>
          <w:rFonts w:ascii="Foco" w:hAnsi="Foco" w:cs="Arial"/>
          <w:sz w:val="24"/>
          <w:szCs w:val="24"/>
          <w:lang w:val="sr-Latn-CS"/>
        </w:rPr>
        <w:t>39.324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 xml:space="preserve"> akcij</w:t>
      </w:r>
      <w:r w:rsidR="00C13A9B">
        <w:rPr>
          <w:rFonts w:ascii="Foco" w:hAnsi="Foco" w:cs="Arial"/>
          <w:sz w:val="24"/>
          <w:szCs w:val="24"/>
          <w:lang w:val="sr-Latn-CS"/>
        </w:rPr>
        <w:t>e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 što čini </w:t>
      </w:r>
      <w:r w:rsidR="005C3122">
        <w:rPr>
          <w:rFonts w:ascii="Foco" w:hAnsi="Foco" w:cs="Arial"/>
          <w:sz w:val="24"/>
          <w:szCs w:val="24"/>
          <w:lang w:val="sr-Latn-CS"/>
        </w:rPr>
        <w:t>30,89</w:t>
      </w:r>
      <w:r w:rsidR="00576B6F">
        <w:rPr>
          <w:rFonts w:ascii="Foco" w:hAnsi="Foco" w:cs="Arial"/>
          <w:sz w:val="24"/>
          <w:szCs w:val="24"/>
          <w:lang w:val="sr-Latn-CS"/>
        </w:rPr>
        <w:t>%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="004B7CD8" w:rsidRPr="00F846C1">
        <w:rPr>
          <w:rFonts w:ascii="Foco" w:hAnsi="Foco" w:cs="Arial"/>
          <w:sz w:val="24"/>
          <w:szCs w:val="24"/>
          <w:lang w:val="sr-Latn-CS"/>
        </w:rPr>
        <w:t>ukup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no emitovanih akcija izdavaoca, odnosno </w:t>
      </w:r>
      <w:r w:rsidR="005C3122">
        <w:rPr>
          <w:rFonts w:ascii="Foco" w:hAnsi="Foco" w:cs="Arial"/>
          <w:sz w:val="24"/>
          <w:szCs w:val="24"/>
          <w:lang w:val="sr-Latn-CS"/>
        </w:rPr>
        <w:t>30,89</w:t>
      </w:r>
      <w:r w:rsidR="00576B6F">
        <w:rPr>
          <w:rFonts w:ascii="Foco" w:hAnsi="Foco" w:cs="Arial"/>
          <w:sz w:val="24"/>
          <w:szCs w:val="24"/>
          <w:lang w:val="sr-Latn-CS"/>
        </w:rPr>
        <w:t>% glasova izdavaoca.</w:t>
      </w:r>
    </w:p>
    <w:p w:rsidR="007C2701" w:rsidRPr="00F846C1" w:rsidRDefault="007C2701" w:rsidP="007C2701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7C2701">
      <w:pPr>
        <w:ind w:left="720"/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Datum kada je prag dostignut, prekoračen ili ispod kojeg se palo:</w:t>
      </w:r>
    </w:p>
    <w:p w:rsidR="002A0E94" w:rsidRPr="00F846C1" w:rsidRDefault="00C13A9B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>
        <w:rPr>
          <w:rFonts w:ascii="Foco" w:hAnsi="Foco" w:cs="Arial"/>
          <w:sz w:val="24"/>
          <w:szCs w:val="24"/>
          <w:lang w:val="sr-Latn-CS"/>
        </w:rPr>
        <w:t>28.11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>.2014</w:t>
      </w:r>
      <w:r w:rsidR="002A0E94" w:rsidRPr="00F846C1">
        <w:rPr>
          <w:rFonts w:ascii="Foco" w:hAnsi="Foco" w:cs="Arial"/>
          <w:sz w:val="24"/>
          <w:szCs w:val="24"/>
          <w:lang w:val="sr-Latn-CS"/>
        </w:rPr>
        <w:t>. godine.</w:t>
      </w:r>
    </w:p>
    <w:p w:rsidR="002A0E94" w:rsidRPr="00F846C1" w:rsidRDefault="002A0E94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402EBD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Datum kada je izdavaoc primio Obaveštenja o značajnom učešću:</w:t>
      </w:r>
    </w:p>
    <w:p w:rsidR="002A0E94" w:rsidRPr="00F846C1" w:rsidRDefault="00C13A9B" w:rsidP="00BF348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>
        <w:rPr>
          <w:rFonts w:ascii="Foco" w:hAnsi="Foco" w:cs="Arial"/>
          <w:sz w:val="24"/>
          <w:szCs w:val="24"/>
          <w:lang w:val="sr-Latn-CS"/>
        </w:rPr>
        <w:t>01.12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>.2014</w:t>
      </w:r>
      <w:r w:rsidR="002A0E94" w:rsidRPr="00F846C1">
        <w:rPr>
          <w:rFonts w:ascii="Foco" w:hAnsi="Foco" w:cs="Arial"/>
          <w:sz w:val="24"/>
          <w:szCs w:val="24"/>
          <w:lang w:val="sr-Latn-CS"/>
        </w:rPr>
        <w:t>. godine.</w:t>
      </w:r>
    </w:p>
    <w:p w:rsidR="002A0E94" w:rsidRPr="00F846C1" w:rsidRDefault="002A0E94" w:rsidP="00BF348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BF348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576B6F" w:rsidRDefault="00576B6F" w:rsidP="00BF348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576B6F" w:rsidRDefault="002A0E94" w:rsidP="00576B6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Velika Plana, </w:t>
      </w:r>
      <w:r w:rsidR="00C13A9B">
        <w:rPr>
          <w:rFonts w:ascii="Foco" w:hAnsi="Foco" w:cs="Arial"/>
          <w:sz w:val="24"/>
          <w:szCs w:val="24"/>
          <w:lang w:val="sr-Latn-CS"/>
        </w:rPr>
        <w:t>01.12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>.2014</w:t>
      </w:r>
      <w:r w:rsidRPr="00F846C1">
        <w:rPr>
          <w:rFonts w:ascii="Foco" w:hAnsi="Foco" w:cs="Arial"/>
          <w:sz w:val="24"/>
          <w:szCs w:val="24"/>
          <w:lang w:val="sr-Latn-CS"/>
        </w:rPr>
        <w:t>. godine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                                                                </w:t>
      </w:r>
      <w:r w:rsidR="00576B6F" w:rsidRPr="00576B6F">
        <w:rPr>
          <w:rFonts w:ascii="Foco" w:hAnsi="Foco" w:cs="Arial"/>
          <w:sz w:val="24"/>
          <w:szCs w:val="24"/>
          <w:lang w:val="sr-Latn-CS"/>
        </w:rPr>
        <w:t xml:space="preserve"> </w:t>
      </w:r>
      <w:r w:rsidRPr="00576B6F">
        <w:rPr>
          <w:rFonts w:ascii="Foco" w:hAnsi="Foco" w:cs="Arial"/>
          <w:bCs/>
          <w:sz w:val="24"/>
          <w:szCs w:val="24"/>
          <w:lang w:val="sr-Latn-CS"/>
        </w:rPr>
        <w:t>DIREKTOR</w:t>
      </w:r>
    </w:p>
    <w:p w:rsidR="00576B6F" w:rsidRPr="00F846C1" w:rsidRDefault="00576B6F" w:rsidP="00BF348F">
      <w:pPr>
        <w:ind w:left="720"/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</w:p>
    <w:p w:rsidR="002A0E94" w:rsidRPr="00F846C1" w:rsidRDefault="006F5A5C" w:rsidP="007874F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ab/>
      </w:r>
      <w:r w:rsidRPr="00F846C1">
        <w:rPr>
          <w:rFonts w:ascii="Foco" w:hAnsi="Foco" w:cs="Arial"/>
          <w:sz w:val="24"/>
          <w:szCs w:val="24"/>
          <w:lang w:val="sr-Latn-CS"/>
        </w:rPr>
        <w:tab/>
      </w:r>
      <w:r w:rsidRPr="00F846C1">
        <w:rPr>
          <w:rFonts w:ascii="Foco" w:hAnsi="Foco" w:cs="Arial"/>
          <w:sz w:val="24"/>
          <w:szCs w:val="24"/>
          <w:lang w:val="sr-Latn-CS"/>
        </w:rPr>
        <w:tab/>
      </w:r>
      <w:r w:rsidRPr="00F846C1">
        <w:rPr>
          <w:rFonts w:ascii="Foco" w:hAnsi="Foco" w:cs="Arial"/>
          <w:sz w:val="24"/>
          <w:szCs w:val="24"/>
          <w:lang w:val="sr-Latn-CS"/>
        </w:rPr>
        <w:tab/>
      </w:r>
      <w:r w:rsidRPr="00F846C1">
        <w:rPr>
          <w:rFonts w:ascii="Foco" w:hAnsi="Foco" w:cs="Arial"/>
          <w:sz w:val="24"/>
          <w:szCs w:val="24"/>
          <w:lang w:val="sr-Latn-CS"/>
        </w:rPr>
        <w:tab/>
      </w:r>
      <w:r w:rsidRPr="00F846C1">
        <w:rPr>
          <w:rFonts w:ascii="Foco" w:hAnsi="Foco" w:cs="Arial"/>
          <w:sz w:val="24"/>
          <w:szCs w:val="24"/>
          <w:lang w:val="sr-Latn-CS"/>
        </w:rPr>
        <w:tab/>
        <w:t xml:space="preserve">                 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                   Ljubomir Đorđević</w:t>
      </w:r>
    </w:p>
    <w:p w:rsidR="002A0E94" w:rsidRPr="00F846C1" w:rsidRDefault="002A0E94" w:rsidP="00860A62">
      <w:pPr>
        <w:rPr>
          <w:rFonts w:ascii="Foco" w:hAnsi="Foco" w:cs="Arial"/>
          <w:b/>
          <w:bCs/>
          <w:sz w:val="16"/>
          <w:szCs w:val="16"/>
          <w:lang w:val="sr-Latn-CS"/>
        </w:rPr>
      </w:pPr>
    </w:p>
    <w:sectPr w:rsidR="002A0E94" w:rsidRPr="00F846C1" w:rsidSect="007206C5">
      <w:headerReference w:type="default" r:id="rId8"/>
      <w:footerReference w:type="default" r:id="rId9"/>
      <w:pgSz w:w="11907" w:h="16840" w:code="9"/>
      <w:pgMar w:top="1134" w:right="1134" w:bottom="567" w:left="1134" w:header="1077" w:footer="107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1D" w:rsidRDefault="0026101D">
      <w:r>
        <w:separator/>
      </w:r>
    </w:p>
  </w:endnote>
  <w:endnote w:type="continuationSeparator" w:id="0">
    <w:p w:rsidR="0026101D" w:rsidRDefault="0026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co">
    <w:panose1 w:val="020B0504050202020203"/>
    <w:charset w:val="EE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C 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94" w:rsidRDefault="002A0E94">
    <w:pPr>
      <w:tabs>
        <w:tab w:val="left" w:pos="540"/>
        <w:tab w:val="left" w:pos="4410"/>
      </w:tabs>
      <w:spacing w:line="240" w:lineRule="atLeast"/>
      <w:rPr>
        <w:rFonts w:ascii="YU C Swiss" w:hAnsi="YU C Swiss" w:cs="YU C Swiss"/>
        <w:i/>
        <w:i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1D" w:rsidRDefault="0026101D">
      <w:r>
        <w:separator/>
      </w:r>
    </w:p>
  </w:footnote>
  <w:footnote w:type="continuationSeparator" w:id="0">
    <w:p w:rsidR="0026101D" w:rsidRDefault="00261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94" w:rsidRDefault="002A0E94">
    <w:pPr>
      <w:tabs>
        <w:tab w:val="left" w:pos="540"/>
        <w:tab w:val="left" w:pos="4410"/>
      </w:tabs>
      <w:spacing w:line="240" w:lineRule="atLeast"/>
      <w:rPr>
        <w:rFonts w:ascii="YU C Swiss" w:hAnsi="YU C Swiss" w:cs="YU C Swis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62113"/>
    <w:multiLevelType w:val="hybridMultilevel"/>
    <w:tmpl w:val="C83071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13C5"/>
    <w:multiLevelType w:val="hybridMultilevel"/>
    <w:tmpl w:val="2B884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41C8C"/>
    <w:multiLevelType w:val="hybridMultilevel"/>
    <w:tmpl w:val="CF48AE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CE"/>
    <w:rsid w:val="00017F18"/>
    <w:rsid w:val="000200D5"/>
    <w:rsid w:val="000210AA"/>
    <w:rsid w:val="0004013F"/>
    <w:rsid w:val="00050B76"/>
    <w:rsid w:val="000776A2"/>
    <w:rsid w:val="000B0AAE"/>
    <w:rsid w:val="000B17E3"/>
    <w:rsid w:val="000E5616"/>
    <w:rsid w:val="00167DD1"/>
    <w:rsid w:val="00180269"/>
    <w:rsid w:val="001D372F"/>
    <w:rsid w:val="001F6EE2"/>
    <w:rsid w:val="00220375"/>
    <w:rsid w:val="00245F17"/>
    <w:rsid w:val="0026101D"/>
    <w:rsid w:val="00267700"/>
    <w:rsid w:val="0027765F"/>
    <w:rsid w:val="002A0E94"/>
    <w:rsid w:val="002A25A2"/>
    <w:rsid w:val="002A6B14"/>
    <w:rsid w:val="002B567D"/>
    <w:rsid w:val="002D7F87"/>
    <w:rsid w:val="002F414D"/>
    <w:rsid w:val="002F5F00"/>
    <w:rsid w:val="00323A00"/>
    <w:rsid w:val="00331E03"/>
    <w:rsid w:val="00346321"/>
    <w:rsid w:val="00360630"/>
    <w:rsid w:val="0036345C"/>
    <w:rsid w:val="00380E1A"/>
    <w:rsid w:val="003B2C33"/>
    <w:rsid w:val="003D0187"/>
    <w:rsid w:val="003F7B1D"/>
    <w:rsid w:val="00402EBD"/>
    <w:rsid w:val="00403A22"/>
    <w:rsid w:val="00405402"/>
    <w:rsid w:val="00414BCA"/>
    <w:rsid w:val="00433AF4"/>
    <w:rsid w:val="00447552"/>
    <w:rsid w:val="004511CC"/>
    <w:rsid w:val="00452280"/>
    <w:rsid w:val="0047085E"/>
    <w:rsid w:val="00491FF5"/>
    <w:rsid w:val="004A3328"/>
    <w:rsid w:val="004A7E64"/>
    <w:rsid w:val="004B7CD8"/>
    <w:rsid w:val="004D76EB"/>
    <w:rsid w:val="00505E6B"/>
    <w:rsid w:val="00534BB5"/>
    <w:rsid w:val="00542BB9"/>
    <w:rsid w:val="00576B6F"/>
    <w:rsid w:val="005A162C"/>
    <w:rsid w:val="005A7015"/>
    <w:rsid w:val="005A73BA"/>
    <w:rsid w:val="005B4F10"/>
    <w:rsid w:val="005C1C11"/>
    <w:rsid w:val="005C3122"/>
    <w:rsid w:val="00607316"/>
    <w:rsid w:val="006170BC"/>
    <w:rsid w:val="006222AF"/>
    <w:rsid w:val="00673A14"/>
    <w:rsid w:val="00674A31"/>
    <w:rsid w:val="006769C8"/>
    <w:rsid w:val="00696220"/>
    <w:rsid w:val="006A3F6A"/>
    <w:rsid w:val="006F5A5C"/>
    <w:rsid w:val="0070579C"/>
    <w:rsid w:val="007206C5"/>
    <w:rsid w:val="0073156C"/>
    <w:rsid w:val="00736183"/>
    <w:rsid w:val="007410A3"/>
    <w:rsid w:val="00741D30"/>
    <w:rsid w:val="00753D48"/>
    <w:rsid w:val="007874FF"/>
    <w:rsid w:val="00793B3A"/>
    <w:rsid w:val="00794F1F"/>
    <w:rsid w:val="007C2701"/>
    <w:rsid w:val="007E1418"/>
    <w:rsid w:val="007E7AD4"/>
    <w:rsid w:val="007F11F7"/>
    <w:rsid w:val="007F5C2C"/>
    <w:rsid w:val="00803093"/>
    <w:rsid w:val="00815F6B"/>
    <w:rsid w:val="00820524"/>
    <w:rsid w:val="00841422"/>
    <w:rsid w:val="00845EDD"/>
    <w:rsid w:val="00860A62"/>
    <w:rsid w:val="00861E3F"/>
    <w:rsid w:val="008E1E48"/>
    <w:rsid w:val="008E6D5C"/>
    <w:rsid w:val="008F7DF1"/>
    <w:rsid w:val="00910BD6"/>
    <w:rsid w:val="009130F8"/>
    <w:rsid w:val="00915A5B"/>
    <w:rsid w:val="00921FE9"/>
    <w:rsid w:val="00926BF5"/>
    <w:rsid w:val="009358CB"/>
    <w:rsid w:val="009428F0"/>
    <w:rsid w:val="00945856"/>
    <w:rsid w:val="00951A3F"/>
    <w:rsid w:val="009A19FB"/>
    <w:rsid w:val="009A6198"/>
    <w:rsid w:val="009C5109"/>
    <w:rsid w:val="00A01FC2"/>
    <w:rsid w:val="00A7771D"/>
    <w:rsid w:val="00A844AD"/>
    <w:rsid w:val="00AA5B1F"/>
    <w:rsid w:val="00AE1950"/>
    <w:rsid w:val="00B03E54"/>
    <w:rsid w:val="00B12457"/>
    <w:rsid w:val="00B33641"/>
    <w:rsid w:val="00B40A14"/>
    <w:rsid w:val="00B4660D"/>
    <w:rsid w:val="00B52A44"/>
    <w:rsid w:val="00B65633"/>
    <w:rsid w:val="00BA1F78"/>
    <w:rsid w:val="00BB6065"/>
    <w:rsid w:val="00BD7EB5"/>
    <w:rsid w:val="00BE6E43"/>
    <w:rsid w:val="00BF348F"/>
    <w:rsid w:val="00C102A8"/>
    <w:rsid w:val="00C12488"/>
    <w:rsid w:val="00C13A9B"/>
    <w:rsid w:val="00C262F9"/>
    <w:rsid w:val="00C27A73"/>
    <w:rsid w:val="00C51229"/>
    <w:rsid w:val="00C544D7"/>
    <w:rsid w:val="00C572A7"/>
    <w:rsid w:val="00C57987"/>
    <w:rsid w:val="00C723AB"/>
    <w:rsid w:val="00C82F5E"/>
    <w:rsid w:val="00CA3571"/>
    <w:rsid w:val="00CC74A0"/>
    <w:rsid w:val="00CD79F7"/>
    <w:rsid w:val="00CE4C70"/>
    <w:rsid w:val="00CF68F7"/>
    <w:rsid w:val="00D012B5"/>
    <w:rsid w:val="00D01D68"/>
    <w:rsid w:val="00D36AC9"/>
    <w:rsid w:val="00D70521"/>
    <w:rsid w:val="00D7245E"/>
    <w:rsid w:val="00D83131"/>
    <w:rsid w:val="00DC7CCE"/>
    <w:rsid w:val="00DE53E6"/>
    <w:rsid w:val="00E12F3F"/>
    <w:rsid w:val="00E37C59"/>
    <w:rsid w:val="00E563B2"/>
    <w:rsid w:val="00E75C1D"/>
    <w:rsid w:val="00EB68B3"/>
    <w:rsid w:val="00EC12CC"/>
    <w:rsid w:val="00EC4DF1"/>
    <w:rsid w:val="00ED304C"/>
    <w:rsid w:val="00ED7AE3"/>
    <w:rsid w:val="00EE4858"/>
    <w:rsid w:val="00F028E1"/>
    <w:rsid w:val="00F332A7"/>
    <w:rsid w:val="00F3555A"/>
    <w:rsid w:val="00F46ED2"/>
    <w:rsid w:val="00F479A5"/>
    <w:rsid w:val="00F70498"/>
    <w:rsid w:val="00F846C1"/>
    <w:rsid w:val="00F968A7"/>
    <w:rsid w:val="00FB12C8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C8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69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9A6198"/>
    <w:rPr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6769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A6198"/>
    <w:rPr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7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6198"/>
    <w:rPr>
      <w:sz w:val="2"/>
      <w:szCs w:val="2"/>
      <w:lang w:val="en-GB" w:eastAsia="en-US"/>
    </w:rPr>
  </w:style>
  <w:style w:type="character" w:styleId="Hyperlink">
    <w:name w:val="Hyperlink"/>
    <w:uiPriority w:val="99"/>
    <w:rsid w:val="006073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C8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69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9A6198"/>
    <w:rPr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6769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A6198"/>
    <w:rPr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7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6198"/>
    <w:rPr>
      <w:sz w:val="2"/>
      <w:szCs w:val="2"/>
      <w:lang w:val="en-GB" w:eastAsia="en-US"/>
    </w:rPr>
  </w:style>
  <w:style w:type="character" w:styleId="Hyperlink">
    <w:name w:val="Hyperlink"/>
    <w:uiPriority w:val="99"/>
    <w:rsid w:val="00607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3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OP[TINSKI SUD</vt:lpstr>
    </vt:vector>
  </TitlesOfParts>
  <Company>SREMPUT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OP[TINSKI SUD</dc:title>
  <dc:creator>Projekt biro</dc:creator>
  <cp:lastModifiedBy>Valentina Trkulja</cp:lastModifiedBy>
  <cp:revision>2</cp:revision>
  <cp:lastPrinted>2014-12-01T12:56:00Z</cp:lastPrinted>
  <dcterms:created xsi:type="dcterms:W3CDTF">2014-12-01T14:26:00Z</dcterms:created>
  <dcterms:modified xsi:type="dcterms:W3CDTF">2014-12-01T14:26:00Z</dcterms:modified>
</cp:coreProperties>
</file>